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7E" w:rsidRDefault="003E647E" w:rsidP="003E647E">
      <w:pPr>
        <w:pStyle w:val="NormalWeb"/>
        <w:rPr>
          <w:sz w:val="20"/>
          <w:szCs w:val="20"/>
          <w:lang w:val="de-DE"/>
        </w:rPr>
      </w:pPr>
      <w:r>
        <w:rPr>
          <w:lang w:val="de-DE"/>
        </w:rPr>
        <w:t xml:space="preserve">The German Federal Ministry of Education and Research (BMBF) has published a new call for proposals "Partnerships for sustainable solutions in transforming and developing countries - Research for development" Pilot projects for partnerships in science, research and education with the countries of Central Asia and the South Caucasus: </w:t>
      </w:r>
      <w:hyperlink r:id="rId4" w:history="1">
        <w:r>
          <w:rPr>
            <w:rStyle w:val="Hyperlink"/>
            <w:sz w:val="20"/>
            <w:szCs w:val="20"/>
            <w:lang w:val="de-DE"/>
          </w:rPr>
          <w:t>http://www.bmbf.de/foerderungen/20160.php</w:t>
        </w:r>
      </w:hyperlink>
      <w:r>
        <w:rPr>
          <w:sz w:val="20"/>
          <w:szCs w:val="20"/>
          <w:lang w:val="de-DE"/>
        </w:rPr>
        <w:t xml:space="preserve"> &lt;</w:t>
      </w:r>
      <w:hyperlink r:id="rId5" w:history="1">
        <w:r>
          <w:rPr>
            <w:rStyle w:val="Hyperlink"/>
            <w:sz w:val="20"/>
            <w:szCs w:val="20"/>
            <w:lang w:val="de-DE"/>
          </w:rPr>
          <w:t>http://www.bmbf.de/foerderungen/20160.php</w:t>
        </w:r>
      </w:hyperlink>
      <w:r>
        <w:rPr>
          <w:sz w:val="20"/>
          <w:szCs w:val="20"/>
          <w:lang w:val="de-DE"/>
        </w:rPr>
        <w:t>&gt; .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Proposals related to the following thematic areas can receive funding of up to 140.000 Euro: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- Health and medicine: Better health and reduced risks for environment-related diseases.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Funded will be research aiming to reduce malnutrition and improve diets; addressing suitable monitoring, control and supply systems and societal innovations; and aiming to reduce infectious diseases and non-communicable and neglected as well as poverty-related diseases;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- Climate, energy, food production: From vulnerability to resilience and sustainable bio-economies.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Funded will be research addressing sustainable land and water use systems; the development of innovative technologies for more efficient energy use and other mitigation measures addressing climate change; as well as the interactions between water, land use, food production and energy efficiency;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- Communication: Development and expansion of a region-specific information society.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 xml:space="preserve">Funded will be research addressing resource-conserving production processes, intelligent products and data services (e.g. mobile phone-based early-warning systems); internet-based knowledge infrastructures and virtual realities. 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Deadline for submission is 15 December 2012. Estimated start of project funding is July 2013.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Funding restrictions: The limit is 140.000 Euro per project for the total (maximum) duration of 24 months.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Funding can be granted for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- travel: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a. German partner to the CASC region: flights, per diem, visa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b. CASC partner within the CASC region: flights, visa (no per diem)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c. CASC partner to Germany: flights, per diem, visa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- workshops: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a. in Germany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b. in the CASC region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- personnel costs: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lastRenderedPageBreak/>
        <w:t>a. German young scientists and student assistants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b. CASC young scientists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- other costs: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limited funding for consumables, research equipment, transportation, literature, etc.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>Funding share for CA/SC participants:</w:t>
      </w:r>
    </w:p>
    <w:p w:rsidR="003E647E" w:rsidRDefault="003E647E" w:rsidP="003E647E">
      <w:pPr>
        <w:pStyle w:val="NormalWeb"/>
        <w:rPr>
          <w:lang w:val="de-DE"/>
        </w:rPr>
      </w:pPr>
      <w:r>
        <w:rPr>
          <w:lang w:val="de-DE"/>
        </w:rPr>
        <w:t xml:space="preserve">The project grants will be allocated to the German applicant (project coordinator). He will then report all the expenses to our administration. </w:t>
      </w:r>
    </w:p>
    <w:p w:rsidR="004A014E" w:rsidRDefault="003E647E" w:rsidP="003E647E">
      <w:r>
        <w:rPr>
          <w:rFonts w:ascii="Sylfaen" w:hAnsi="Sylfaen"/>
        </w:rPr>
        <w:t>T</w:t>
      </w:r>
      <w:r>
        <w:rPr>
          <w:lang w:val="de-DE"/>
        </w:rPr>
        <w:t xml:space="preserve">he text of the call is available only in German as the application has to be submitted by the German partner (online submission: </w:t>
      </w:r>
      <w:hyperlink r:id="rId6" w:history="1">
        <w:r>
          <w:rPr>
            <w:rStyle w:val="Hyperlink"/>
            <w:sz w:val="20"/>
            <w:szCs w:val="20"/>
            <w:lang w:val="de-DE"/>
          </w:rPr>
          <w:t>https://www.pt-it.de/ptoutline/application/FFE_GUS_2012</w:t>
        </w:r>
      </w:hyperlink>
      <w:r>
        <w:rPr>
          <w:sz w:val="20"/>
          <w:szCs w:val="20"/>
          <w:lang w:val="de-DE"/>
        </w:rPr>
        <w:t xml:space="preserve"> &lt;</w:t>
      </w:r>
      <w:hyperlink r:id="rId7" w:history="1">
        <w:r>
          <w:rPr>
            <w:rStyle w:val="Hyperlink"/>
            <w:sz w:val="20"/>
            <w:szCs w:val="20"/>
            <w:lang w:val="de-DE"/>
          </w:rPr>
          <w:t>https://www.pt-it.de/ptoutline/application/FFE_GUS_2012</w:t>
        </w:r>
      </w:hyperlink>
      <w:r>
        <w:rPr>
          <w:sz w:val="20"/>
          <w:szCs w:val="20"/>
          <w:lang w:val="de-DE"/>
        </w:rPr>
        <w:t xml:space="preserve">&gt;). </w:t>
      </w:r>
    </w:p>
    <w:sectPr w:rsidR="004A01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647E"/>
    <w:rsid w:val="003E647E"/>
    <w:rsid w:val="004A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64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t-it.de/ptoutline/application/FFE_GUS_2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t-it.de/ptoutline/application/FFE_GUS_2012" TargetMode="External"/><Relationship Id="rId5" Type="http://schemas.openxmlformats.org/officeDocument/2006/relationships/hyperlink" Target="http://www.bmbf.de/foerderungen/20160.php" TargetMode="External"/><Relationship Id="rId4" Type="http://schemas.openxmlformats.org/officeDocument/2006/relationships/hyperlink" Target="http://www.bmbf.de/foerderungen/20160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khananiashvili</dc:creator>
  <cp:keywords/>
  <dc:description/>
  <cp:lastModifiedBy>khananiashvili</cp:lastModifiedBy>
  <cp:revision>2</cp:revision>
  <dcterms:created xsi:type="dcterms:W3CDTF">2012-11-27T08:20:00Z</dcterms:created>
  <dcterms:modified xsi:type="dcterms:W3CDTF">2012-11-27T08:21:00Z</dcterms:modified>
</cp:coreProperties>
</file>